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出張旅費規程（ひな形）</w:t>
      </w:r>
    </w:p>
    <w:p>
      <w:r>
        <w:rPr>
          <w:sz w:val="18"/>
        </w:rPr>
        <w:t>※ 本ひな形は一般的な条文例です。自社の実態・機関設計に合わせて必ず修正し、取締役会または株主総会等の承認を経て施行してください。</w:t>
      </w:r>
    </w:p>
    <w:p>
      <w:pPr>
        <w:pStyle w:val="Heading2"/>
      </w:pPr>
      <w:r>
        <w:t>第1条（目的）</w:t>
      </w:r>
    </w:p>
    <w:p>
      <w:r>
        <w:t>本規程は、従業員および役員が業務のため出張する場合の手続ならびに旅費の支給基準について定めるものである。</w:t>
      </w:r>
    </w:p>
    <w:p>
      <w:pPr>
        <w:pStyle w:val="Heading2"/>
      </w:pPr>
      <w:r>
        <w:t>第2条（適用範囲）</w:t>
      </w:r>
    </w:p>
    <w:p>
      <w:r>
        <w:t>本規程は、当社の役員および全ての従業員に適用する。</w:t>
      </w:r>
    </w:p>
    <w:p>
      <w:pPr>
        <w:pStyle w:val="Heading2"/>
      </w:pPr>
      <w:r>
        <w:t>第3条（出張の定義）</w:t>
      </w:r>
    </w:p>
    <w:p>
      <w:r>
        <w:t>本規程において出張とは、所属勤務地を離れ、片道◯km以上の地域において業務に従事することをいう。宿泊を伴うものを宿泊出張、伴わないものを日帰り出張という。</w:t>
      </w:r>
    </w:p>
    <w:p>
      <w:pPr>
        <w:pStyle w:val="Heading2"/>
      </w:pPr>
      <w:r>
        <w:t>第4条（出張の承認）</w:t>
      </w:r>
    </w:p>
    <w:p>
      <w:r>
        <w:t>出張しようとする者は、あらかじめ出張申請書により所属長の承認を受けなければならない。緊急やむを得ない場合は事後速やかに承認を受けるものとする。</w:t>
      </w:r>
    </w:p>
    <w:p>
      <w:pPr>
        <w:pStyle w:val="Heading2"/>
      </w:pPr>
      <w:r>
        <w:t>第5条（旅費の種類）</w:t>
      </w:r>
    </w:p>
    <w:p>
      <w:r>
        <w:t>旅費は、交通費、宿泊料および日当とする。</w:t>
      </w:r>
    </w:p>
    <w:p>
      <w:pPr>
        <w:pStyle w:val="Heading2"/>
      </w:pPr>
      <w:r>
        <w:t>第6条（交通費）</w:t>
      </w:r>
    </w:p>
    <w:p>
      <w:r>
        <w:t>交通費は、最も経済的かつ合理的な経路および方法により算出した実費を支給する。ただし、業務上の必要があると認められる場合は、所属長の承認を得て特急料金その他の料金を実費支給する。</w:t>
      </w:r>
    </w:p>
    <w:p>
      <w:pPr>
        <w:pStyle w:val="Heading2"/>
      </w:pPr>
      <w:r>
        <w:t>第7条（宿泊料）</w:t>
      </w:r>
    </w:p>
    <w:p>
      <w:r>
        <w:t>宿泊料は、別表に定める区分に従い、1泊につき定額を支給する。宿泊料には、宿泊に付随する諸費用を含むものとする。</w:t>
      </w:r>
    </w:p>
    <w:p>
      <w:pPr>
        <w:pStyle w:val="Heading2"/>
      </w:pPr>
      <w:r>
        <w:t>第8条（日当）</w:t>
      </w:r>
    </w:p>
    <w:p>
      <w:r>
        <w:t>日当は、出張中の食事代その他の諸雑費に充てるものとして、別表に定める区分に従い1日につき定額を支給する。日当を支給した場合、これに含まれる費用について重ねて実費を精算しない。</w:t>
      </w:r>
    </w:p>
    <w:p>
      <w:pPr>
        <w:pStyle w:val="Heading2"/>
      </w:pPr>
      <w:r>
        <w:t>第9条（海外出張）</w:t>
      </w:r>
    </w:p>
    <w:p>
      <w:r>
        <w:t>海外出張の旅費は、別表に定める海外出張の区分により支給する。渡航手続費用、旅行保険料および予防接種費用は、実費を別途支給する。</w:t>
      </w:r>
    </w:p>
    <w:p>
      <w:pPr>
        <w:pStyle w:val="Heading2"/>
      </w:pPr>
      <w:r>
        <w:t>第10条（旅費の精算）</w:t>
      </w:r>
    </w:p>
    <w:p>
      <w:r>
        <w:t>出張者は、出張終了後◯日以内に旅費精算書を提出し、旅費の精算を行わなければならない。精算書には、支出を証する書類を添付するものとする。</w:t>
      </w:r>
    </w:p>
    <w:p>
      <w:pPr>
        <w:pStyle w:val="Heading2"/>
      </w:pPr>
      <w:r>
        <w:t>第11条（規程の改廃）</w:t>
      </w:r>
    </w:p>
    <w:p>
      <w:r>
        <w:t>本規程の改廃は、取締役会の決議により行う。</w:t>
      </w:r>
    </w:p>
    <w:p>
      <w:pPr>
        <w:pStyle w:val="Heading2"/>
      </w:pPr>
      <w:r>
        <w:t>別表（旅費支給基準）</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区分</w:t>
            </w:r>
          </w:p>
        </w:tc>
        <w:tc>
          <w:tcPr>
            <w:tcW w:type="dxa" w:w="2160"/>
          </w:tcPr>
          <w:p>
            <w:r>
              <w:t>国内日当（1日）</w:t>
            </w:r>
          </w:p>
        </w:tc>
        <w:tc>
          <w:tcPr>
            <w:tcW w:type="dxa" w:w="2160"/>
          </w:tcPr>
          <w:p>
            <w:r>
              <w:t>国内宿泊料（1泊）</w:t>
            </w:r>
          </w:p>
        </w:tc>
        <w:tc>
          <w:tcPr>
            <w:tcW w:type="dxa" w:w="2160"/>
          </w:tcPr>
          <w:p>
            <w:r>
              <w:t>海外日当（1日）</w:t>
            </w:r>
          </w:p>
        </w:tc>
      </w:tr>
      <w:tr>
        <w:tc>
          <w:tcPr>
            <w:tcW w:type="dxa" w:w="2160"/>
          </w:tcPr>
          <w:p>
            <w:r>
              <w:t>代表取締役</w:t>
            </w:r>
          </w:p>
        </w:tc>
        <w:tc>
          <w:tcPr>
            <w:tcW w:type="dxa" w:w="2160"/>
          </w:tcPr>
          <w:p>
            <w:r>
              <w:t>5,000円</w:t>
            </w:r>
          </w:p>
        </w:tc>
        <w:tc>
          <w:tcPr>
            <w:tcW w:type="dxa" w:w="2160"/>
          </w:tcPr>
          <w:p>
            <w:r>
              <w:t>12,000円</w:t>
            </w:r>
          </w:p>
        </w:tc>
        <w:tc>
          <w:tcPr>
            <w:tcW w:type="dxa" w:w="2160"/>
          </w:tcPr>
          <w:p>
            <w:r>
              <w:t>8,000円</w:t>
            </w:r>
          </w:p>
        </w:tc>
      </w:tr>
      <w:tr>
        <w:tc>
          <w:tcPr>
            <w:tcW w:type="dxa" w:w="2160"/>
          </w:tcPr>
          <w:p>
            <w:r>
              <w:t>取締役</w:t>
            </w:r>
          </w:p>
        </w:tc>
        <w:tc>
          <w:tcPr>
            <w:tcW w:type="dxa" w:w="2160"/>
          </w:tcPr>
          <w:p>
            <w:r>
              <w:t>4,000円</w:t>
            </w:r>
          </w:p>
        </w:tc>
        <w:tc>
          <w:tcPr>
            <w:tcW w:type="dxa" w:w="2160"/>
          </w:tcPr>
          <w:p>
            <w:r>
              <w:t>10,000円</w:t>
            </w:r>
          </w:p>
        </w:tc>
        <w:tc>
          <w:tcPr>
            <w:tcW w:type="dxa" w:w="2160"/>
          </w:tcPr>
          <w:p>
            <w:r>
              <w:t>7,000円</w:t>
            </w:r>
          </w:p>
        </w:tc>
      </w:tr>
      <w:tr>
        <w:tc>
          <w:tcPr>
            <w:tcW w:type="dxa" w:w="2160"/>
          </w:tcPr>
          <w:p>
            <w:r>
              <w:t>部長・課長</w:t>
            </w:r>
          </w:p>
        </w:tc>
        <w:tc>
          <w:tcPr>
            <w:tcW w:type="dxa" w:w="2160"/>
          </w:tcPr>
          <w:p>
            <w:r>
              <w:t>3,000円</w:t>
            </w:r>
          </w:p>
        </w:tc>
        <w:tc>
          <w:tcPr>
            <w:tcW w:type="dxa" w:w="2160"/>
          </w:tcPr>
          <w:p>
            <w:r>
              <w:t>9,000円</w:t>
            </w:r>
          </w:p>
        </w:tc>
        <w:tc>
          <w:tcPr>
            <w:tcW w:type="dxa" w:w="2160"/>
          </w:tcPr>
          <w:p>
            <w:r>
              <w:t>6,000円</w:t>
            </w:r>
          </w:p>
        </w:tc>
      </w:tr>
      <w:tr>
        <w:tc>
          <w:tcPr>
            <w:tcW w:type="dxa" w:w="2160"/>
          </w:tcPr>
          <w:p>
            <w:r>
              <w:t>一般従業員</w:t>
            </w:r>
          </w:p>
        </w:tc>
        <w:tc>
          <w:tcPr>
            <w:tcW w:type="dxa" w:w="2160"/>
          </w:tcPr>
          <w:p>
            <w:r>
              <w:t>2,000円</w:t>
            </w:r>
          </w:p>
        </w:tc>
        <w:tc>
          <w:tcPr>
            <w:tcW w:type="dxa" w:w="2160"/>
          </w:tcPr>
          <w:p>
            <w:r>
              <w:t>8,000円</w:t>
            </w:r>
          </w:p>
        </w:tc>
        <w:tc>
          <w:tcPr>
            <w:tcW w:type="dxa" w:w="2160"/>
          </w:tcPr>
          <w:p>
            <w:r>
              <w:t>5,000円</w:t>
            </w:r>
          </w:p>
        </w:tc>
      </w:tr>
    </w:tbl>
    <w:p/>
    <w:p>
      <w:r>
        <w:rPr>
          <w:sz w:val="18"/>
        </w:rPr>
        <w:t>【金額を決めるときの考え方】所得税基本通達9-3は、非課税とされる旅費の範囲について、①その支給額が役員および使用人の全てを通じて適正なバランスが保たれている基準によって計算されたものであるかどうか、②その支給額が同業種・同規模の他の使用者等が一般的に支給している金額に照らして相当と認められるものであるかどうか、を勘案して判定するとしています。上表の金額はあくまで記入例であり、自社の規模・出張実態に照らして説明できる水準に設定してください。</w:t>
      </w:r>
    </w:p>
    <w:p>
      <w:r>
        <w:t>附則　本規程は、令和◯年◯月◯日から施行する。</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Yu Gothic" w:hAnsi="Yu Gothi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